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A5" w:rsidRPr="001F2877" w:rsidRDefault="00D378A5" w:rsidP="00D378A5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F2877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</w:p>
    <w:p w:rsidR="00D378A5" w:rsidRPr="001F2877" w:rsidRDefault="00D378A5" w:rsidP="00D378A5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proofErr w:type="gram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Nr .10/2  din 19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</w:p>
    <w:p w:rsidR="00D378A5" w:rsidRPr="001F2877" w:rsidRDefault="00D378A5" w:rsidP="00D378A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proofErr w:type="gramStart"/>
      <w:r w:rsidRPr="001F2877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Clișova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78A5" w:rsidRPr="001F2877" w:rsidRDefault="00D378A5" w:rsidP="00D378A5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67" w:tblpY="240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8222"/>
        <w:gridCol w:w="1390"/>
      </w:tblGrid>
      <w:tr w:rsidR="00D378A5" w:rsidRPr="001F2877" w:rsidTr="002157A8">
        <w:trPr>
          <w:cantSplit/>
          <w:trHeight w:val="983"/>
        </w:trPr>
        <w:tc>
          <w:tcPr>
            <w:tcW w:w="562" w:type="dxa"/>
            <w:shd w:val="clear" w:color="auto" w:fill="auto"/>
          </w:tcPr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spellEnd"/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Obiectele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impunerii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Cotele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concrete</w:t>
            </w:r>
            <w:proofErr w:type="spellEnd"/>
          </w:p>
        </w:tc>
      </w:tr>
      <w:tr w:rsidR="00D378A5" w:rsidRPr="001F2877" w:rsidTr="002157A8">
        <w:trPr>
          <w:trHeight w:val="298"/>
        </w:trPr>
        <w:tc>
          <w:tcPr>
            <w:tcW w:w="562" w:type="dxa"/>
            <w:shd w:val="clear" w:color="auto" w:fill="auto"/>
          </w:tcPr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612" w:type="dxa"/>
            <w:gridSpan w:val="2"/>
            <w:shd w:val="clear" w:color="auto" w:fill="auto"/>
          </w:tcPr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Cotele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concrete la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impozitul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imobiliare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evaluate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impozitării</w:t>
            </w:r>
            <w:proofErr w:type="spellEnd"/>
          </w:p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( 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conform art. 280 din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titlul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VI al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Codului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fiscal </w:t>
            </w:r>
          </w:p>
        </w:tc>
      </w:tr>
      <w:tr w:rsidR="00D378A5" w:rsidRPr="001F2877" w:rsidTr="002157A8">
        <w:trPr>
          <w:trHeight w:val="261"/>
        </w:trPr>
        <w:tc>
          <w:tcPr>
            <w:tcW w:w="56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imobiliare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A5" w:rsidRPr="001F2877" w:rsidTr="002157A8">
        <w:trPr>
          <w:trHeight w:val="274"/>
        </w:trPr>
        <w:tc>
          <w:tcPr>
            <w:tcW w:w="56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locativă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apartamente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cr/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case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aferente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D378A5" w:rsidRPr="001F2877" w:rsidTr="002157A8">
        <w:trPr>
          <w:trHeight w:val="261"/>
        </w:trPr>
        <w:tc>
          <w:tcPr>
            <w:tcW w:w="56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amplasate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8A5" w:rsidRPr="001F2877" w:rsidTr="002157A8">
        <w:trPr>
          <w:trHeight w:val="462"/>
        </w:trPr>
        <w:tc>
          <w:tcPr>
            <w:tcW w:w="56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loturile</w:t>
            </w:r>
            <w:proofErr w:type="spellEnd"/>
            <w:proofErr w:type="gram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întovărășirilor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pomicole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amplasate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8A5" w:rsidRPr="001F2877" w:rsidTr="002157A8">
        <w:trPr>
          <w:trHeight w:val="240"/>
        </w:trPr>
        <w:tc>
          <w:tcPr>
            <w:tcW w:w="56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amplasate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</w:t>
            </w:r>
            <w:proofErr w:type="spellEnd"/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</w:tr>
      <w:tr w:rsidR="00D378A5" w:rsidRPr="001F2877" w:rsidTr="002157A8">
        <w:trPr>
          <w:trHeight w:val="558"/>
        </w:trPr>
        <w:tc>
          <w:tcPr>
            <w:tcW w:w="56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imobiliare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altă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destinație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decît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locativă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agricolă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exceptînd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garajele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amplasate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loturile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întovărășirilor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pomicole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construcții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amplasate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0,3%</w:t>
            </w:r>
          </w:p>
        </w:tc>
      </w:tr>
      <w:tr w:rsidR="00D378A5" w:rsidRPr="001F2877" w:rsidTr="002157A8">
        <w:trPr>
          <w:trHeight w:val="297"/>
        </w:trPr>
        <w:tc>
          <w:tcPr>
            <w:tcW w:w="562" w:type="dxa"/>
            <w:shd w:val="clear" w:color="auto" w:fill="auto"/>
          </w:tcPr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612" w:type="dxa"/>
            <w:gridSpan w:val="2"/>
            <w:shd w:val="clear" w:color="auto" w:fill="auto"/>
          </w:tcPr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Cotele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concrete la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impozitul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funciar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neevaluate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impozitării</w:t>
            </w:r>
            <w:proofErr w:type="spellEnd"/>
          </w:p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(conform 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Anexei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nr. 1 la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Legea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punerea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aplicare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titlului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VI din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Codul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fiscal nr.1056 din 16.06.2000)</w:t>
            </w:r>
          </w:p>
        </w:tc>
      </w:tr>
      <w:tr w:rsidR="00D378A5" w:rsidRPr="001F2877" w:rsidTr="002157A8">
        <w:trPr>
          <w:trHeight w:val="1106"/>
        </w:trPr>
        <w:tc>
          <w:tcPr>
            <w:tcW w:w="56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destinație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agricolă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decît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fînețelor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pășunilor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 au</w:t>
            </w: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care nu au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1,50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</w:tr>
      <w:tr w:rsidR="00D378A5" w:rsidRPr="001F2877" w:rsidTr="002157A8">
        <w:trPr>
          <w:trHeight w:val="272"/>
        </w:trPr>
        <w:tc>
          <w:tcPr>
            <w:tcW w:w="56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</w:tr>
      <w:tr w:rsidR="00D378A5" w:rsidRPr="001F2877" w:rsidTr="002157A8">
        <w:trPr>
          <w:trHeight w:val="770"/>
        </w:trPr>
        <w:tc>
          <w:tcPr>
            <w:tcW w:w="56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fînețelor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pășunilor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 au</w:t>
            </w: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care nu au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0,50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</w:tr>
      <w:tr w:rsidR="00D378A5" w:rsidRPr="001F2877" w:rsidTr="002157A8">
        <w:trPr>
          <w:trHeight w:val="261"/>
        </w:trPr>
        <w:tc>
          <w:tcPr>
            <w:tcW w:w="56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</w:tr>
      <w:tr w:rsidR="00D378A5" w:rsidRPr="001F2877" w:rsidTr="002157A8">
        <w:trPr>
          <w:trHeight w:val="536"/>
        </w:trPr>
        <w:tc>
          <w:tcPr>
            <w:tcW w:w="56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ocupate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acvatice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iazuri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lacuri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</w:tr>
      <w:tr w:rsidR="00D378A5" w:rsidRPr="001F2877" w:rsidTr="002157A8">
        <w:trPr>
          <w:trHeight w:val="1235"/>
        </w:trPr>
        <w:tc>
          <w:tcPr>
            <w:tcW w:w="56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din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intravilan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378A5" w:rsidRPr="001F2877" w:rsidRDefault="00D378A5" w:rsidP="002157A8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1F2877">
              <w:rPr>
                <w:sz w:val="24"/>
                <w:szCs w:val="24"/>
                <w:lang w:val="ro-RO" w:eastAsia="ru-RU"/>
              </w:rPr>
              <w:t xml:space="preserve">terenurile pe care sunt amplasate fondul de locuințe, loturi de pe </w:t>
            </w:r>
            <w:proofErr w:type="spellStart"/>
            <w:r w:rsidRPr="001F2877">
              <w:rPr>
                <w:sz w:val="24"/>
                <w:szCs w:val="24"/>
                <w:lang w:val="ro-RO" w:eastAsia="ru-RU"/>
              </w:rPr>
              <w:t>lîngă</w:t>
            </w:r>
            <w:proofErr w:type="spellEnd"/>
            <w:r w:rsidRPr="001F2877">
              <w:rPr>
                <w:sz w:val="24"/>
                <w:szCs w:val="24"/>
                <w:lang w:val="ro-RO" w:eastAsia="ru-RU"/>
              </w:rPr>
              <w:t xml:space="preserve"> domiciliu (inclusiv terenurile atribuite de către autoritățile publice locale ca loturi de pe lingă domiciliu și distribuite în extravilan, din cauza insuficienței de terenuri în intravilan </w:t>
            </w:r>
            <w:r w:rsidRPr="001F2877">
              <w:rPr>
                <w:i/>
                <w:sz w:val="24"/>
                <w:szCs w:val="24"/>
                <w:lang w:val="ro-RO" w:eastAsia="ru-RU"/>
              </w:rPr>
              <w:t>(grădini)</w:t>
            </w:r>
            <w:r w:rsidRPr="001F2877">
              <w:rPr>
                <w:sz w:val="24"/>
                <w:szCs w:val="24"/>
                <w:lang w:val="ro-RO" w:eastAsia="ru-RU"/>
              </w:rPr>
              <w:t xml:space="preserve">) </w:t>
            </w:r>
          </w:p>
          <w:p w:rsidR="00D378A5" w:rsidRPr="001F2877" w:rsidRDefault="00D378A5" w:rsidP="002157A8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1F2877">
              <w:rPr>
                <w:sz w:val="24"/>
                <w:szCs w:val="24"/>
                <w:lang w:val="ro-RO" w:eastAsia="ru-RU"/>
              </w:rPr>
              <w:t xml:space="preserve">în localitățile rurale; 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1lei/100m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378A5" w:rsidRPr="001F2877" w:rsidTr="002157A8">
        <w:trPr>
          <w:trHeight w:val="636"/>
        </w:trPr>
        <w:tc>
          <w:tcPr>
            <w:tcW w:w="56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1F2877">
              <w:rPr>
                <w:sz w:val="24"/>
                <w:szCs w:val="24"/>
                <w:lang w:val="ro-RO" w:eastAsia="ru-RU"/>
              </w:rPr>
              <w:t xml:space="preserve">terenurile atribuite de către autoritatea administraţiei publice locale ca loturi de pe </w:t>
            </w:r>
            <w:proofErr w:type="spellStart"/>
            <w:r w:rsidRPr="001F2877">
              <w:rPr>
                <w:sz w:val="24"/>
                <w:szCs w:val="24"/>
                <w:lang w:val="ro-RO" w:eastAsia="ru-RU"/>
              </w:rPr>
              <w:t>lîngă</w:t>
            </w:r>
            <w:proofErr w:type="spellEnd"/>
            <w:r w:rsidRPr="001F2877">
              <w:rPr>
                <w:sz w:val="24"/>
                <w:szCs w:val="24"/>
                <w:lang w:val="ro-RO" w:eastAsia="ru-RU"/>
              </w:rPr>
              <w:t xml:space="preserve"> domiciliu şi distribuite în extravilan din cauza insuficienței de terenuri în intravilan, neevaluate de către organele cadastrale teritoriale conform valorii estimate </w:t>
            </w:r>
            <w:r w:rsidRPr="001F2877">
              <w:rPr>
                <w:i/>
                <w:sz w:val="24"/>
                <w:szCs w:val="24"/>
                <w:lang w:val="ro-RO" w:eastAsia="ru-RU"/>
              </w:rPr>
              <w:t>(grădini):</w:t>
            </w:r>
          </w:p>
          <w:p w:rsidR="00D378A5" w:rsidRPr="001F2877" w:rsidRDefault="00D378A5" w:rsidP="002157A8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i/>
                <w:sz w:val="24"/>
                <w:szCs w:val="24"/>
                <w:lang w:val="ro-RO" w:eastAsia="ru-RU"/>
              </w:rPr>
            </w:pPr>
            <w:r w:rsidRPr="001F2877">
              <w:rPr>
                <w:i/>
                <w:sz w:val="24"/>
                <w:szCs w:val="24"/>
                <w:lang w:val="ro-RO" w:eastAsia="ru-RU"/>
              </w:rPr>
              <w:t>oraşe</w:t>
            </w:r>
          </w:p>
          <w:p w:rsidR="00D378A5" w:rsidRPr="001F2877" w:rsidRDefault="00D378A5" w:rsidP="002157A8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1F2877">
              <w:rPr>
                <w:i/>
                <w:sz w:val="24"/>
                <w:szCs w:val="24"/>
                <w:lang w:val="ro-RO" w:eastAsia="ru-RU"/>
              </w:rPr>
              <w:t>municipii, oraşe-rezidente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10lei/100m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378A5" w:rsidRPr="001F2877" w:rsidTr="002157A8">
        <w:trPr>
          <w:trHeight w:val="622"/>
        </w:trPr>
        <w:tc>
          <w:tcPr>
            <w:tcW w:w="56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1F2877">
              <w:rPr>
                <w:sz w:val="24"/>
                <w:szCs w:val="24"/>
                <w:lang w:val="ro-RO" w:eastAsia="ru-RU"/>
              </w:rPr>
              <w:t>terenurile destinate întreprinderilor agricole, alte terenuri neevaluate de către organele cadastrale teritoriale conform valorii estimate.</w:t>
            </w:r>
            <w:r w:rsidRPr="001F287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10lei/100m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378A5" w:rsidRPr="001F2877" w:rsidTr="002157A8">
        <w:trPr>
          <w:trHeight w:val="1948"/>
        </w:trPr>
        <w:tc>
          <w:tcPr>
            <w:tcW w:w="56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din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extravilan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378A5" w:rsidRPr="001F2877" w:rsidRDefault="00D378A5" w:rsidP="002157A8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1F2877">
              <w:rPr>
                <w:sz w:val="24"/>
                <w:szCs w:val="24"/>
                <w:lang w:val="ro-RO" w:eastAsia="ru-RU"/>
              </w:rPr>
              <w:t xml:space="preserve">terenurile pe care sunt amplasate clădiri și construcții, carierele și </w:t>
            </w:r>
            <w:proofErr w:type="spellStart"/>
            <w:r w:rsidRPr="001F2877">
              <w:rPr>
                <w:sz w:val="24"/>
                <w:szCs w:val="24"/>
                <w:lang w:val="ro-RO" w:eastAsia="ru-RU"/>
              </w:rPr>
              <w:t>pămînturile</w:t>
            </w:r>
            <w:proofErr w:type="spellEnd"/>
            <w:r w:rsidRPr="001F2877">
              <w:rPr>
                <w:sz w:val="24"/>
                <w:szCs w:val="24"/>
                <w:lang w:val="ro-RO" w:eastAsia="ru-RU"/>
              </w:rPr>
              <w:t xml:space="preserve"> distruse în urma activității de producție, neevaluate de către organele cadastrale teritoriale  conform valorii estimate;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350lei/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proofErr w:type="spellEnd"/>
          </w:p>
        </w:tc>
      </w:tr>
      <w:tr w:rsidR="00D378A5" w:rsidRPr="001F2877" w:rsidTr="002157A8">
        <w:trPr>
          <w:trHeight w:val="805"/>
        </w:trPr>
        <w:tc>
          <w:tcPr>
            <w:tcW w:w="56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2) </w:t>
            </w:r>
            <w:proofErr w:type="spellStart"/>
            <w:proofErr w:type="gram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proofErr w:type="gram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decît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1),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neevaluate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valorii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estimate.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70lei/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proofErr w:type="spellEnd"/>
          </w:p>
        </w:tc>
      </w:tr>
      <w:tr w:rsidR="00D378A5" w:rsidRPr="001F2877" w:rsidTr="002157A8">
        <w:trPr>
          <w:trHeight w:val="917"/>
        </w:trPr>
        <w:tc>
          <w:tcPr>
            <w:tcW w:w="10174" w:type="dxa"/>
            <w:gridSpan w:val="3"/>
            <w:shd w:val="clear" w:color="auto" w:fill="auto"/>
          </w:tcPr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Cotele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concrete la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impozitul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imobiliare</w:t>
            </w:r>
            <w:proofErr w:type="spellEnd"/>
          </w:p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apartamentele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izolate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o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etapă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50%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rămase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nefinisate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3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începutul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</w:t>
            </w:r>
            <w:proofErr w:type="spellEnd"/>
          </w:p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neevaluate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către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organele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cadastrale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scopul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impozitării</w:t>
            </w:r>
            <w:proofErr w:type="spellEnd"/>
          </w:p>
          <w:p w:rsidR="00D378A5" w:rsidRPr="001F2877" w:rsidRDefault="00D378A5" w:rsidP="00215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(conform Anexei.2 la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Legea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punerea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aplicare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titlului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VI din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Codul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fiscal nr.1056 din 16.06.2000)</w:t>
            </w:r>
          </w:p>
        </w:tc>
      </w:tr>
      <w:tr w:rsidR="00D378A5" w:rsidRPr="001F2877" w:rsidTr="002157A8">
        <w:trPr>
          <w:trHeight w:val="2104"/>
        </w:trPr>
        <w:tc>
          <w:tcPr>
            <w:tcW w:w="56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2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amplasate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loturilor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întovărăşirilor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pomicole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neevaluate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valorii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estimate,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378A5" w:rsidRPr="001F2877" w:rsidRDefault="00D378A5" w:rsidP="002157A8">
            <w:pPr>
              <w:pStyle w:val="a3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1F2877">
              <w:rPr>
                <w:sz w:val="24"/>
                <w:szCs w:val="24"/>
                <w:lang w:val="ro-RO" w:eastAsia="ru-RU"/>
              </w:rPr>
              <w:t>pentru persoanele juridice și fizice care desfășoară activitate de întreprinzător;</w:t>
            </w:r>
          </w:p>
          <w:p w:rsidR="00D378A5" w:rsidRPr="001F2877" w:rsidRDefault="00D378A5" w:rsidP="002157A8">
            <w:pPr>
              <w:pStyle w:val="a3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1F2877">
              <w:rPr>
                <w:sz w:val="24"/>
                <w:szCs w:val="24"/>
                <w:lang w:val="ro-RO" w:eastAsia="ru-RU"/>
              </w:rPr>
              <w:t xml:space="preserve">pentru persoanele fizice, altele </w:t>
            </w:r>
            <w:proofErr w:type="spellStart"/>
            <w:r w:rsidRPr="001F2877">
              <w:rPr>
                <w:sz w:val="24"/>
                <w:szCs w:val="24"/>
                <w:lang w:val="ro-RO" w:eastAsia="ru-RU"/>
              </w:rPr>
              <w:t>decît</w:t>
            </w:r>
            <w:proofErr w:type="spellEnd"/>
            <w:r w:rsidRPr="001F2877">
              <w:rPr>
                <w:sz w:val="24"/>
                <w:szCs w:val="24"/>
                <w:lang w:val="ro-RO" w:eastAsia="ru-RU"/>
              </w:rPr>
              <w:t xml:space="preserve"> cele specificate la lit. a).</w:t>
            </w:r>
            <w:r w:rsidRPr="001F2877">
              <w:rPr>
                <w:sz w:val="24"/>
                <w:szCs w:val="24"/>
                <w:lang w:val="ro-RO" w:eastAsia="ru-RU"/>
              </w:rPr>
              <w:tab/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D378A5" w:rsidRPr="001F2877" w:rsidTr="002157A8">
        <w:trPr>
          <w:trHeight w:val="365"/>
        </w:trPr>
        <w:tc>
          <w:tcPr>
            <w:tcW w:w="56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D378A5" w:rsidRPr="001F2877" w:rsidTr="002157A8">
        <w:trPr>
          <w:trHeight w:val="1331"/>
        </w:trPr>
        <w:tc>
          <w:tcPr>
            <w:tcW w:w="56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2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decît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pct. 9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pct.11,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neevaluate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valorii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estimate,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378A5" w:rsidRPr="001F2877" w:rsidRDefault="00D378A5" w:rsidP="002157A8">
            <w:pPr>
              <w:pStyle w:val="a3"/>
              <w:numPr>
                <w:ilvl w:val="0"/>
                <w:numId w:val="2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1F2877">
              <w:rPr>
                <w:sz w:val="24"/>
                <w:szCs w:val="24"/>
                <w:lang w:val="ro-RO" w:eastAsia="ru-RU"/>
              </w:rPr>
              <w:t>pentru persoanele juridice și fizice care desfășoară activitate de întreprinzător;</w:t>
            </w:r>
          </w:p>
          <w:p w:rsidR="00D378A5" w:rsidRPr="001F2877" w:rsidRDefault="00D378A5" w:rsidP="002157A8">
            <w:pPr>
              <w:pStyle w:val="a3"/>
              <w:numPr>
                <w:ilvl w:val="0"/>
                <w:numId w:val="2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1F2877">
              <w:rPr>
                <w:sz w:val="24"/>
                <w:szCs w:val="24"/>
                <w:lang w:val="ro-RO" w:eastAsia="ru-RU"/>
              </w:rPr>
              <w:t xml:space="preserve">persoanele fizice, altele </w:t>
            </w:r>
            <w:proofErr w:type="spellStart"/>
            <w:r w:rsidRPr="001F2877">
              <w:rPr>
                <w:sz w:val="24"/>
                <w:szCs w:val="24"/>
                <w:lang w:val="ro-RO" w:eastAsia="ru-RU"/>
              </w:rPr>
              <w:t>decît</w:t>
            </w:r>
            <w:proofErr w:type="spellEnd"/>
            <w:r w:rsidRPr="001F2877">
              <w:rPr>
                <w:sz w:val="24"/>
                <w:szCs w:val="24"/>
                <w:lang w:val="ro-RO" w:eastAsia="ru-RU"/>
              </w:rPr>
              <w:t xml:space="preserve"> cele specificate la lit. a).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</w:tr>
      <w:tr w:rsidR="00D378A5" w:rsidRPr="001F2877" w:rsidTr="002157A8">
        <w:trPr>
          <w:trHeight w:val="70"/>
        </w:trPr>
        <w:tc>
          <w:tcPr>
            <w:tcW w:w="56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</w:tr>
      <w:tr w:rsidR="00D378A5" w:rsidRPr="001F2877" w:rsidTr="002157A8">
        <w:trPr>
          <w:trHeight w:val="1292"/>
        </w:trPr>
        <w:tc>
          <w:tcPr>
            <w:tcW w:w="56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22" w:type="dxa"/>
            <w:vMerge w:val="restart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locativă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apartamente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case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din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localitățile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stabilesc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cum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urmează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desfășoară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întreprinzător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proofErr w:type="gram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proofErr w:type="gram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decît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lit. a)</w:t>
            </w: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8A5" w:rsidRPr="001F2877" w:rsidRDefault="00D378A5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D378A5" w:rsidRPr="001F2877" w:rsidTr="002157A8">
        <w:trPr>
          <w:trHeight w:val="134"/>
        </w:trPr>
        <w:tc>
          <w:tcPr>
            <w:tcW w:w="56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D378A5" w:rsidRPr="001F2877" w:rsidTr="002157A8">
        <w:trPr>
          <w:trHeight w:val="2527"/>
        </w:trPr>
        <w:tc>
          <w:tcPr>
            <w:tcW w:w="10174" w:type="dxa"/>
            <w:gridSpan w:val="3"/>
            <w:shd w:val="clear" w:color="auto" w:fill="auto"/>
          </w:tcPr>
          <w:p w:rsidR="00D378A5" w:rsidRPr="001F2877" w:rsidRDefault="00D378A5" w:rsidP="002157A8">
            <w:pPr>
              <w:ind w:firstLine="59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Nota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cazurile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suprafața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totală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locuințelor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construcțiilor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principale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persoanelor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fizice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care nu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desfășoară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activitate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întreprinzător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înregistrate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drept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proprietate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depășește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100 m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cotele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concrete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stabilite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impozitului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imobiliare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majorează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funcție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suprafața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totală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după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cum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urmează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de la 100 la 150 m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de 1,5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de la 150 la 200 m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de 2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de la 200 la 300 m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de 10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D378A5" w:rsidRPr="001F2877" w:rsidRDefault="00D378A5" w:rsidP="002157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peste</w:t>
            </w:r>
            <w:proofErr w:type="spellEnd"/>
            <w:proofErr w:type="gram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300 m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de 15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</w:p>
          <w:p w:rsidR="00D378A5" w:rsidRPr="001F2877" w:rsidRDefault="00D378A5" w:rsidP="002157A8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Construcție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principală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construcție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înregistrată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drept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proprietate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persoanei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fizice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care are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destinație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locuință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este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antrenată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activitatea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întreprinzător</w:t>
            </w:r>
            <w:proofErr w:type="spellEnd"/>
            <w:r w:rsidRPr="001F2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</w:tr>
    </w:tbl>
    <w:p w:rsidR="00D378A5" w:rsidRPr="001F2877" w:rsidRDefault="00D378A5" w:rsidP="00D378A5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Președintele ședinței                                                                                </w:t>
      </w:r>
    </w:p>
    <w:p w:rsidR="00D378A5" w:rsidRPr="001F2877" w:rsidRDefault="00D378A5" w:rsidP="00D378A5">
      <w:pPr>
        <w:ind w:left="-817" w:firstLine="817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Secretar  al Consiliului local                                                   M.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>Buligari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</w:t>
      </w:r>
    </w:p>
    <w:p w:rsidR="00D378A5" w:rsidRDefault="00D378A5" w:rsidP="00D378A5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1F2877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</w:t>
      </w:r>
    </w:p>
    <w:p w:rsidR="00D378A5" w:rsidRDefault="00D378A5" w:rsidP="00D378A5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905EEA" w:rsidRPr="00D378A5" w:rsidRDefault="00905EEA" w:rsidP="00D378A5">
      <w:pPr>
        <w:rPr>
          <w:lang w:val="en-US"/>
        </w:rPr>
      </w:pPr>
      <w:r w:rsidRPr="00D378A5">
        <w:rPr>
          <w:lang w:val="en-US"/>
        </w:rPr>
        <w:t xml:space="preserve"> </w:t>
      </w:r>
    </w:p>
    <w:sectPr w:rsidR="00905EEA" w:rsidRPr="00D378A5" w:rsidSect="006C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905EEA"/>
    <w:rsid w:val="006C2315"/>
    <w:rsid w:val="007C7B96"/>
    <w:rsid w:val="008910DE"/>
    <w:rsid w:val="00905EEA"/>
    <w:rsid w:val="00CD7F2C"/>
    <w:rsid w:val="00D3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8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Company>nbit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user-nb</cp:lastModifiedBy>
  <cp:revision>2</cp:revision>
  <dcterms:created xsi:type="dcterms:W3CDTF">2020-11-19T11:19:00Z</dcterms:created>
  <dcterms:modified xsi:type="dcterms:W3CDTF">2020-11-19T11:19:00Z</dcterms:modified>
</cp:coreProperties>
</file>