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b/>
          <w:bCs/>
          <w:bdr w:val="none" w:sz="0" w:space="0" w:color="auto" w:frame="1"/>
          <w:lang w:val="ro-MO" w:eastAsia="ro-RO"/>
        </w:rPr>
        <w:t xml:space="preserve">Primăria satului </w:t>
      </w:r>
      <w:proofErr w:type="spellStart"/>
      <w:r>
        <w:rPr>
          <w:b/>
          <w:bCs/>
          <w:bdr w:val="none" w:sz="0" w:space="0" w:color="auto" w:frame="1"/>
          <w:lang w:val="ro-MO" w:eastAsia="ro-RO"/>
        </w:rPr>
        <w:t>Cli</w:t>
      </w:r>
      <w:proofErr w:type="spellEnd"/>
      <w:r>
        <w:rPr>
          <w:b/>
          <w:bCs/>
          <w:bdr w:val="none" w:sz="0" w:space="0" w:color="auto" w:frame="1"/>
          <w:lang w:eastAsia="ro-RO"/>
        </w:rPr>
        <w:t>ș</w:t>
      </w:r>
      <w:r>
        <w:rPr>
          <w:b/>
          <w:bCs/>
          <w:bdr w:val="none" w:sz="0" w:space="0" w:color="auto" w:frame="1"/>
          <w:lang w:val="ro-MO" w:eastAsia="ro-RO"/>
        </w:rPr>
        <w:t xml:space="preserve">ova organizează </w:t>
      </w:r>
      <w:proofErr w:type="spellStart"/>
      <w:r>
        <w:rPr>
          <w:b/>
          <w:bCs/>
          <w:bdr w:val="none" w:sz="0" w:space="0" w:color="auto" w:frame="1"/>
          <w:lang w:val="ro-MO" w:eastAsia="ro-RO"/>
        </w:rPr>
        <w:t>începînd</w:t>
      </w:r>
      <w:proofErr w:type="spellEnd"/>
      <w:r>
        <w:rPr>
          <w:b/>
          <w:bCs/>
          <w:bdr w:val="none" w:sz="0" w:space="0" w:color="auto" w:frame="1"/>
          <w:lang w:val="ro-MO" w:eastAsia="ro-RO"/>
        </w:rPr>
        <w:t xml:space="preserve"> cu data de 14.11.2018 consultarea publică a proiectului de decizie cu privire la aprobarea cotelor pe bunurile imobiliare şi impozitul funciar pentru anul 2019</w:t>
      </w:r>
    </w:p>
    <w:p w:rsidR="00A713CE" w:rsidRDefault="00A713CE" w:rsidP="00A713CE">
      <w:pPr>
        <w:spacing w:after="240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 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Scopul  proiectului este stabilirea cotelor concrete la impozitul pe bunurile imobiliare şi impozitul funciar pentru anul 2019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Necesitatea elaborării și adoptării proiectului de decizie este în conformitate cu titlul VI din Codul fiscal aprobat prin Legea nr.1163-XII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 xml:space="preserve">Prevederile de bază ale proiectului sânt titlul VI  din Codul Fiscal nr. 1056-XV din 16.06.2000, art. 14 din Legea privind administrați publică </w:t>
      </w:r>
      <w:proofErr w:type="spellStart"/>
      <w:r>
        <w:rPr>
          <w:lang w:val="ro-MO" w:eastAsia="ro-RO"/>
        </w:rPr>
        <w:t>loclă</w:t>
      </w:r>
      <w:proofErr w:type="spellEnd"/>
      <w:r>
        <w:rPr>
          <w:lang w:val="ro-MO" w:eastAsia="ro-RO"/>
        </w:rPr>
        <w:t xml:space="preserve"> nr 436-XVI din  28.12.2006.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 xml:space="preserve">Recomandările pe marginea proiectului de decizie supus consultării publice pot fi expediate </w:t>
      </w:r>
      <w:proofErr w:type="spellStart"/>
      <w:r>
        <w:rPr>
          <w:lang w:val="ro-MO" w:eastAsia="ro-RO"/>
        </w:rPr>
        <w:t>pînă</w:t>
      </w:r>
      <w:proofErr w:type="spellEnd"/>
      <w:r>
        <w:rPr>
          <w:lang w:val="ro-MO" w:eastAsia="ro-RO"/>
        </w:rPr>
        <w:t xml:space="preserve"> pe data de 30.11.2018 pe adresa electronică: </w:t>
      </w:r>
      <w:hyperlink r:id="rId5" w:history="1">
        <w:r w:rsidRPr="0081742C">
          <w:rPr>
            <w:rStyle w:val="a7"/>
            <w:bdr w:val="none" w:sz="0" w:space="0" w:color="auto" w:frame="1"/>
            <w:lang w:val="ro-MO" w:eastAsia="ro-RO"/>
          </w:rPr>
          <w:t>primariaclisova@gmail.com, la</w:t>
        </w:r>
      </w:hyperlink>
      <w:r>
        <w:rPr>
          <w:lang w:val="ro-MO" w:eastAsia="ro-RO"/>
        </w:rPr>
        <w:t> nr. de telefon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0235 52 974.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Responsabil de recepţionarea recomandărilor asupra proiectului de decizie este  Mustea Olga – specialist în perceperea plăților fiscale.</w:t>
      </w:r>
    </w:p>
    <w:p w:rsidR="00A713CE" w:rsidRDefault="00A713CE" w:rsidP="00A713CE">
      <w:pPr>
        <w:spacing w:after="240"/>
        <w:jc w:val="both"/>
        <w:rPr>
          <w:rFonts w:ascii="Arial" w:hAnsi="Arial" w:cs="Arial"/>
          <w:sz w:val="23"/>
          <w:szCs w:val="23"/>
          <w:lang w:val="ro-MO" w:eastAsia="ro-RO"/>
        </w:rPr>
      </w:pPr>
      <w:r>
        <w:rPr>
          <w:lang w:val="ro-MO" w:eastAsia="ro-RO"/>
        </w:rPr>
        <w:t>Proiectul deciziei cu privire la aprobarea cotelor pe bunurile imobiliare şi impozitul funciar pentru anul 2019 este disponibil pe pagina web oficială </w:t>
      </w:r>
      <w:proofErr w:type="spellStart"/>
      <w:r>
        <w:fldChar w:fldCharType="begin"/>
      </w:r>
      <w:r>
        <w:instrText xml:space="preserve"> HYPERLINK "mailto:primaria@orhei.md" </w:instrText>
      </w:r>
      <w:r>
        <w:fldChar w:fldCharType="separate"/>
      </w:r>
      <w:r>
        <w:rPr>
          <w:rStyle w:val="a7"/>
          <w:bdr w:val="none" w:sz="0" w:space="0" w:color="auto" w:frame="1"/>
          <w:lang w:val="ro-MO" w:eastAsia="ro-RO"/>
        </w:rPr>
        <w:t>primariaclisova.sat.md</w:t>
      </w:r>
      <w:proofErr w:type="spellEnd"/>
      <w:r>
        <w:fldChar w:fldCharType="end"/>
      </w:r>
      <w:r>
        <w:rPr>
          <w:lang w:val="ro-MO" w:eastAsia="ro-RO"/>
        </w:rPr>
        <w:t xml:space="preserve"> sau la sediul </w:t>
      </w:r>
      <w:proofErr w:type="spellStart"/>
      <w:r>
        <w:rPr>
          <w:lang w:val="ro-MO" w:eastAsia="ro-RO"/>
        </w:rPr>
        <w:t>Primariei</w:t>
      </w:r>
      <w:proofErr w:type="spellEnd"/>
      <w:r>
        <w:rPr>
          <w:lang w:val="ro-MO" w:eastAsia="ro-RO"/>
        </w:rPr>
        <w:t xml:space="preserve"> Clișova raionul Orhei.</w:t>
      </w:r>
    </w:p>
    <w:p w:rsidR="00530478" w:rsidRDefault="00530478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p w:rsidR="00A713CE" w:rsidRDefault="00A713CE" w:rsidP="00A713CE">
      <w:pPr>
        <w:rPr>
          <w:szCs w:val="28"/>
          <w:lang w:val="ro-MO"/>
        </w:rPr>
      </w:pPr>
    </w:p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A713CE" w:rsidTr="0042712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42712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lastRenderedPageBreak/>
              <w:t>REPUBLICA MOLDOVA</w:t>
            </w:r>
          </w:p>
          <w:p w:rsidR="00A713CE" w:rsidRDefault="00A713CE" w:rsidP="0042712C">
            <w:pPr>
              <w:jc w:val="center"/>
              <w:rPr>
                <w:shadow/>
                <w:lang w:val="en-US"/>
              </w:rPr>
            </w:pPr>
          </w:p>
          <w:p w:rsidR="00A713CE" w:rsidRDefault="00A713CE" w:rsidP="0042712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A713CE" w:rsidRDefault="00A713CE" w:rsidP="0042712C">
            <w:pPr>
              <w:jc w:val="center"/>
              <w:rPr>
                <w:shadow/>
                <w:sz w:val="22"/>
                <w:szCs w:val="22"/>
              </w:rPr>
            </w:pP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A713CE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A713CE" w:rsidRDefault="00A713CE" w:rsidP="0042712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42712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42712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A713CE" w:rsidRDefault="00A713CE" w:rsidP="0042712C">
            <w:pPr>
              <w:jc w:val="center"/>
              <w:rPr>
                <w:b/>
                <w:shadow/>
              </w:rPr>
            </w:pPr>
          </w:p>
          <w:p w:rsidR="00A713CE" w:rsidRPr="00E04613" w:rsidRDefault="00A713CE" w:rsidP="0042712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A713CE" w:rsidRPr="00E04613" w:rsidRDefault="00A713CE" w:rsidP="0042712C">
            <w:pPr>
              <w:jc w:val="center"/>
              <w:rPr>
                <w:shadow/>
              </w:rPr>
            </w:pPr>
          </w:p>
          <w:p w:rsidR="00A713CE" w:rsidRDefault="00A713CE" w:rsidP="0042712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A713CE" w:rsidRDefault="00A713CE" w:rsidP="0042712C">
            <w:pPr>
              <w:jc w:val="center"/>
              <w:rPr>
                <w:shadow/>
                <w:sz w:val="20"/>
                <w:szCs w:val="20"/>
              </w:rPr>
            </w:pPr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A713CE" w:rsidRPr="00ED4AD1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A713CE" w:rsidRDefault="00A713CE" w:rsidP="0042712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</w:pPr>
          </w:p>
        </w:tc>
      </w:tr>
    </w:tbl>
    <w:p w:rsidR="00A713CE" w:rsidRDefault="00A713CE" w:rsidP="00A713CE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Pr="00EC1E9B">
        <w:rPr>
          <w:b/>
          <w:szCs w:val="28"/>
          <w:lang w:val="ru-RU"/>
        </w:rPr>
        <w:t xml:space="preserve">    </w:t>
      </w:r>
      <w:r>
        <w:rPr>
          <w:b/>
          <w:szCs w:val="28"/>
        </w:rPr>
        <w:t xml:space="preserve">      </w:t>
      </w:r>
    </w:p>
    <w:p w:rsidR="00A713CE" w:rsidRDefault="00A713CE" w:rsidP="00A713CE">
      <w:pPr>
        <w:ind w:firstLine="567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proiect                    </w:t>
      </w:r>
    </w:p>
    <w:p w:rsidR="00A713CE" w:rsidRDefault="00A713CE" w:rsidP="00A713CE">
      <w:pPr>
        <w:ind w:firstLine="567"/>
        <w:rPr>
          <w:b/>
          <w:szCs w:val="28"/>
        </w:rPr>
      </w:pPr>
      <w:r>
        <w:rPr>
          <w:b/>
          <w:szCs w:val="28"/>
        </w:rPr>
        <w:t xml:space="preserve">                                                 DECIZIE  nr.7/4 </w:t>
      </w:r>
    </w:p>
    <w:p w:rsidR="00A713CE" w:rsidRDefault="00A713CE" w:rsidP="00A713CE">
      <w:pPr>
        <w:ind w:firstLine="567"/>
        <w:rPr>
          <w:szCs w:val="28"/>
        </w:rPr>
      </w:pPr>
      <w:r>
        <w:rPr>
          <w:b/>
          <w:szCs w:val="28"/>
        </w:rPr>
        <w:t xml:space="preserve">                                                 din  05.12.2018                                                                      </w:t>
      </w:r>
    </w:p>
    <w:p w:rsidR="00A713CE" w:rsidRDefault="00A713CE" w:rsidP="00A713CE">
      <w:pPr>
        <w:ind w:firstLine="567"/>
        <w:jc w:val="both"/>
        <w:rPr>
          <w:szCs w:val="28"/>
        </w:rPr>
      </w:pPr>
    </w:p>
    <w:p w:rsidR="00A713CE" w:rsidRDefault="00A713CE" w:rsidP="00A713CE">
      <w:pPr>
        <w:ind w:firstLine="567"/>
        <w:jc w:val="both"/>
        <w:rPr>
          <w:szCs w:val="28"/>
        </w:rPr>
      </w:pPr>
      <w:r>
        <w:rPr>
          <w:szCs w:val="28"/>
        </w:rPr>
        <w:t xml:space="preserve">                  </w:t>
      </w:r>
    </w:p>
    <w:p w:rsidR="00A713CE" w:rsidRPr="00E46A24" w:rsidRDefault="00A713CE" w:rsidP="00A713CE">
      <w:r>
        <w:t xml:space="preserve">     </w:t>
      </w:r>
      <w:r>
        <w:rPr>
          <w:szCs w:val="28"/>
        </w:rPr>
        <w:t xml:space="preserve">Cu privire la stabilirea cotelor </w:t>
      </w:r>
      <w:r>
        <w:rPr>
          <w:szCs w:val="28"/>
        </w:rPr>
        <w:br/>
        <w:t xml:space="preserve">     impozitului pe bunurile imobiliare și</w:t>
      </w:r>
      <w:r>
        <w:rPr>
          <w:szCs w:val="28"/>
        </w:rPr>
        <w:br/>
        <w:t xml:space="preserve">     impozitului funciar </w:t>
      </w:r>
    </w:p>
    <w:p w:rsidR="00A713CE" w:rsidRDefault="00A713CE" w:rsidP="00A713CE">
      <w:pPr>
        <w:rPr>
          <w:szCs w:val="28"/>
          <w:lang w:val="en-US"/>
        </w:rPr>
      </w:pPr>
      <w:r>
        <w:rPr>
          <w:szCs w:val="28"/>
        </w:rPr>
        <w:t xml:space="preserve">      pentru anul </w:t>
      </w:r>
      <w:r>
        <w:rPr>
          <w:szCs w:val="28"/>
          <w:lang w:val="en-US"/>
        </w:rPr>
        <w:t>2019</w:t>
      </w:r>
    </w:p>
    <w:p w:rsidR="00A713CE" w:rsidRDefault="00A713CE" w:rsidP="00A713CE">
      <w:pPr>
        <w:rPr>
          <w:szCs w:val="28"/>
        </w:rPr>
      </w:pPr>
    </w:p>
    <w:p w:rsidR="00A713CE" w:rsidRDefault="00A713CE" w:rsidP="00A713CE">
      <w:pPr>
        <w:spacing w:line="276" w:lineRule="auto"/>
        <w:jc w:val="both"/>
      </w:pPr>
    </w:p>
    <w:p w:rsidR="00A713CE" w:rsidRDefault="00A713CE" w:rsidP="00A713C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Cs w:val="28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 nr.397-XV din 16.10.2003; Legea cu privire la datoria sectorului public, garanțiile de stat și recreditarea de stat nr. 419-XVI din 22.12.2006</w:t>
      </w:r>
      <w:r>
        <w:rPr>
          <w:szCs w:val="28"/>
          <w:lang w:val="en-US"/>
        </w:rPr>
        <w:t>,</w:t>
      </w:r>
      <w:r>
        <w:rPr>
          <w:b/>
          <w:szCs w:val="28"/>
        </w:rPr>
        <w:t xml:space="preserve"> </w:t>
      </w:r>
      <w:r>
        <w:rPr>
          <w:szCs w:val="28"/>
        </w:rPr>
        <w:t>Consiliul local aprobă cotele concrete la impozitul pe bunurile imobiliare şi impozitul funciar, după cum urmează:</w:t>
      </w:r>
    </w:p>
    <w:p w:rsidR="00A713CE" w:rsidRDefault="00A713CE" w:rsidP="00A713CE"/>
    <w:tbl>
      <w:tblPr>
        <w:tblpPr w:leftFromText="180" w:rightFromText="180" w:bottomFromText="160" w:vertAnchor="text" w:horzAnchor="margin" w:tblpX="67" w:tblpY="240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8066"/>
        <w:gridCol w:w="1275"/>
      </w:tblGrid>
      <w:tr w:rsidR="00A713CE" w:rsidTr="0042712C">
        <w:trPr>
          <w:cantSplit/>
          <w:trHeight w:val="6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Nr. d/o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tabs>
                <w:tab w:val="left" w:pos="2550"/>
              </w:tabs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Obiectele impunerii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Cotele concrete</w:t>
            </w:r>
          </w:p>
        </w:tc>
      </w:tr>
      <w:tr w:rsidR="00A713CE" w:rsidTr="0042712C">
        <w:trPr>
          <w:trHeight w:val="29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Cotele concrete la impozitul pe bunurile imobiliare </w:t>
            </w:r>
          </w:p>
          <w:p w:rsidR="00A713CE" w:rsidRDefault="00A713CE" w:rsidP="0042712C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pentru bunurile imobiliare evaluate de către organele cadastrale în scopul impozitării</w:t>
            </w:r>
          </w:p>
          <w:p w:rsidR="00A713CE" w:rsidRDefault="00A713CE" w:rsidP="0042712C">
            <w:pPr>
              <w:spacing w:line="25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 xml:space="preserve">( </w:t>
            </w:r>
            <w:r>
              <w:rPr>
                <w:i/>
                <w:szCs w:val="28"/>
              </w:rPr>
              <w:t xml:space="preserve">conform art. 280 din titlul VI al Codului fiscal </w:t>
            </w:r>
          </w:p>
        </w:tc>
      </w:tr>
      <w:tr w:rsidR="00A713CE" w:rsidTr="0042712C">
        <w:trPr>
          <w:trHeight w:val="26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Bunurile imobiliare, inclusiv: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42712C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cu destinație locativă (apartamente și case de locuit individuale terenuri aferente acestor bunuri);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42712C">
        <w:trPr>
          <w:trHeight w:val="26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garajele și terenurile pe care acestea sunt amplasate;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42712C">
        <w:trPr>
          <w:trHeight w:val="4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loturile întovărășirilor pomicole cu sau fără construcții amplasate pe ele.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42712C">
        <w:trPr>
          <w:trHeight w:val="24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Terenurile agricole cu construcții amplasate pe 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42712C">
        <w:trPr>
          <w:trHeight w:val="5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Bunurile imobiliare cu altă destinație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cea locativă sau agricolă, inclusiv </w:t>
            </w:r>
            <w:proofErr w:type="spellStart"/>
            <w:r>
              <w:rPr>
                <w:b/>
                <w:i/>
                <w:szCs w:val="28"/>
              </w:rPr>
              <w:t>exceptînd</w:t>
            </w:r>
            <w:proofErr w:type="spellEnd"/>
            <w:r>
              <w:rPr>
                <w:szCs w:val="28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0,3%</w:t>
            </w:r>
          </w:p>
        </w:tc>
      </w:tr>
      <w:tr w:rsidR="00A713CE" w:rsidTr="0042712C">
        <w:trPr>
          <w:trHeight w:val="29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II</w:t>
            </w:r>
          </w:p>
        </w:tc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Cotele concrete la impozitul funciar </w:t>
            </w:r>
          </w:p>
          <w:p w:rsidR="00A713CE" w:rsidRDefault="00A713CE" w:rsidP="0042712C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pentru terenurile neevaluate de către organele cadastrale în scopul impozitării</w:t>
            </w:r>
          </w:p>
          <w:p w:rsidR="00A713CE" w:rsidRDefault="00A713CE" w:rsidP="0042712C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(conform  Anexei nr. 1</w:t>
            </w:r>
            <w:r>
              <w:rPr>
                <w:i/>
                <w:szCs w:val="28"/>
                <w:lang w:val="en-US"/>
              </w:rPr>
              <w:t xml:space="preserve"> </w:t>
            </w:r>
            <w:r>
              <w:rPr>
                <w:i/>
                <w:szCs w:val="28"/>
              </w:rPr>
              <w:t>la Legea pentru punerea în aplicare a titlului VI din Codul fiscal nr.1056 din 16.06.2000)</w:t>
            </w:r>
          </w:p>
        </w:tc>
      </w:tr>
      <w:tr w:rsidR="00A713CE" w:rsidTr="0042712C">
        <w:trPr>
          <w:trHeight w:val="110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cu destinație agricolă: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toate terenurile,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destinate </w:t>
            </w:r>
            <w:proofErr w:type="spellStart"/>
            <w:r>
              <w:rPr>
                <w:szCs w:val="28"/>
              </w:rPr>
              <w:t>fînețelor</w:t>
            </w:r>
            <w:proofErr w:type="spellEnd"/>
            <w:r>
              <w:rPr>
                <w:szCs w:val="28"/>
              </w:rPr>
              <w:t xml:space="preserve"> și pășunilor: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care au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indici cadastrali</w:t>
            </w:r>
          </w:p>
          <w:p w:rsidR="00A713CE" w:rsidRDefault="00A713CE" w:rsidP="0042712C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>b) care nu au indici cadastrali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A713CE" w:rsidTr="0042712C">
        <w:trPr>
          <w:trHeight w:val="272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9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A713CE" w:rsidTr="0042712C">
        <w:trPr>
          <w:trHeight w:val="770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2) Terenurile destinate </w:t>
            </w:r>
            <w:proofErr w:type="spellStart"/>
            <w:r>
              <w:rPr>
                <w:szCs w:val="28"/>
              </w:rPr>
              <w:t>fînețelor</w:t>
            </w:r>
            <w:proofErr w:type="spellEnd"/>
            <w:r>
              <w:rPr>
                <w:szCs w:val="28"/>
              </w:rPr>
              <w:t xml:space="preserve"> și pășunilor: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care au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indici cadastrali</w:t>
            </w:r>
          </w:p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b) care nu au indici cadastrali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A713CE" w:rsidTr="0042712C">
        <w:trPr>
          <w:trHeight w:val="261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9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713CE" w:rsidTr="0042712C">
        <w:trPr>
          <w:trHeight w:val="536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 xml:space="preserve">3) Terenurile ocupate de obiecte acvatice (iazuri, lacuri </w:t>
            </w:r>
            <w:proofErr w:type="spellStart"/>
            <w:r>
              <w:rPr>
                <w:szCs w:val="28"/>
              </w:rPr>
              <w:t>ect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A713CE" w:rsidTr="0042712C">
        <w:trPr>
          <w:trHeight w:val="123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din intravilan,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b/>
                <w:i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pe care sunt amplasate fondul de locuințe, loturi de pe </w:t>
            </w:r>
            <w:proofErr w:type="spellStart"/>
            <w:r>
              <w:rPr>
                <w:szCs w:val="28"/>
                <w:lang w:val="ro-RO" w:eastAsia="ru-RU"/>
              </w:rPr>
              <w:t>lîngă</w:t>
            </w:r>
            <w:proofErr w:type="spellEnd"/>
            <w:r>
              <w:rPr>
                <w:szCs w:val="28"/>
                <w:lang w:val="ro-RO" w:eastAsia="ru-RU"/>
              </w:rPr>
              <w:t xml:space="preserve"> domiciliu (inclusiv terenurile atribuite de către autoritățile publice locale ca loturi de pe lingă domiciliu și distribuite în extravilan, din cauza insuficienței de terenuri în intravilan </w:t>
            </w:r>
            <w:r>
              <w:rPr>
                <w:i/>
                <w:szCs w:val="28"/>
                <w:lang w:val="ro-RO" w:eastAsia="ru-RU"/>
              </w:rPr>
              <w:t>(grădini)</w:t>
            </w:r>
            <w:r>
              <w:rPr>
                <w:szCs w:val="28"/>
                <w:lang w:val="ro-RO" w:eastAsia="ru-RU"/>
              </w:rPr>
              <w:t xml:space="preserve">) 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eastAsia="Times New Roman"/>
                <w:b/>
                <w:i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în localitățile rurale;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1leu/100</w:t>
            </w:r>
            <w:r>
              <w:rPr>
                <w:sz w:val="28"/>
                <w:szCs w:val="28"/>
                <w:vertAlign w:val="superscript"/>
              </w:rPr>
              <w:t>m2</w:t>
            </w:r>
          </w:p>
        </w:tc>
      </w:tr>
      <w:tr w:rsidR="00A713CE" w:rsidTr="0042712C">
        <w:trPr>
          <w:trHeight w:val="636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atribuite de către autoritatea administraţiei publice locale ca loturi de pe </w:t>
            </w:r>
            <w:proofErr w:type="spellStart"/>
            <w:r>
              <w:rPr>
                <w:szCs w:val="28"/>
                <w:lang w:val="ro-RO" w:eastAsia="ru-RU"/>
              </w:rPr>
              <w:t>lîngă</w:t>
            </w:r>
            <w:proofErr w:type="spellEnd"/>
            <w:r>
              <w:rPr>
                <w:szCs w:val="28"/>
                <w:lang w:val="ro-RO" w:eastAsia="ru-RU"/>
              </w:rPr>
              <w:t xml:space="preserve"> domiciliu şi distribuite în extravilan din cauza insuficienței de terenuri în intravilan, neevaluate de către organele cadastrale teritoriale conform valorii estimate </w:t>
            </w:r>
            <w:r>
              <w:rPr>
                <w:i/>
                <w:szCs w:val="28"/>
                <w:lang w:val="ro-RO" w:eastAsia="ru-RU"/>
              </w:rPr>
              <w:t>(grădini):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i/>
                <w:szCs w:val="28"/>
                <w:lang w:val="ro-RO" w:eastAsia="ru-RU"/>
              </w:rPr>
            </w:pPr>
            <w:r>
              <w:rPr>
                <w:i/>
                <w:szCs w:val="28"/>
                <w:lang w:val="ro-RO" w:eastAsia="ru-RU"/>
              </w:rPr>
              <w:t>oraşe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eastAsia="Times New Roman"/>
                <w:b/>
                <w:i/>
                <w:szCs w:val="28"/>
                <w:lang w:val="ro-RO" w:eastAsia="ru-RU"/>
              </w:rPr>
            </w:pPr>
            <w:r>
              <w:rPr>
                <w:i/>
                <w:szCs w:val="28"/>
                <w:lang w:val="ro-RO" w:eastAsia="ru-RU"/>
              </w:rPr>
              <w:t>municipii, oraşe-rezidente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42712C">
        <w:trPr>
          <w:trHeight w:val="622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Pr="00EC1E9B" w:rsidRDefault="00A713CE" w:rsidP="0042712C">
            <w:pPr>
              <w:spacing w:line="25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10lei/100</w:t>
            </w:r>
            <w:r>
              <w:rPr>
                <w:sz w:val="28"/>
                <w:szCs w:val="28"/>
                <w:vertAlign w:val="superscript"/>
              </w:rPr>
              <w:t>m2</w:t>
            </w:r>
          </w:p>
        </w:tc>
      </w:tr>
      <w:tr w:rsidR="00A713CE" w:rsidTr="0042712C">
        <w:trPr>
          <w:trHeight w:val="19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8.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din extravilan,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pe care sunt amplasate clădiri și construcții, carierele și </w:t>
            </w:r>
            <w:proofErr w:type="spellStart"/>
            <w:r>
              <w:rPr>
                <w:szCs w:val="28"/>
                <w:lang w:val="ro-RO" w:eastAsia="ru-RU"/>
              </w:rPr>
              <w:t>pămînturile</w:t>
            </w:r>
            <w:proofErr w:type="spellEnd"/>
            <w:r>
              <w:rPr>
                <w:szCs w:val="28"/>
                <w:lang w:val="ro-RO" w:eastAsia="ru-RU"/>
              </w:rPr>
              <w:t xml:space="preserve"> distruse în urma activității de producție, neevaluate de către organele cadastrale teritoriale  conform valorii estimate;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350lei/ha</w:t>
            </w:r>
          </w:p>
        </w:tc>
      </w:tr>
      <w:tr w:rsidR="00A713CE" w:rsidTr="0042712C">
        <w:trPr>
          <w:trHeight w:val="2542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2) terenurile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la alin. 1), neevaluate de către organele cadastrale teritoriale conform valorii estimate.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42712C">
        <w:trPr>
          <w:trHeight w:val="917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Cs w:val="28"/>
              </w:rPr>
              <w:t>Cotele concrete la impozitul pe bunurile imobiliare</w:t>
            </w:r>
          </w:p>
          <w:p w:rsidR="00A713CE" w:rsidRDefault="00A713CE" w:rsidP="0042712C">
            <w:pPr>
              <w:spacing w:line="256" w:lineRule="auto"/>
              <w:jc w:val="center"/>
              <w:rPr>
                <w:iCs/>
                <w:szCs w:val="28"/>
                <w:lang w:val="en-US" w:eastAsia="en-US"/>
              </w:rPr>
            </w:pPr>
            <w:r>
              <w:rPr>
                <w:szCs w:val="28"/>
              </w:rPr>
              <w:t xml:space="preserve">pentru </w:t>
            </w:r>
            <w:proofErr w:type="spellStart"/>
            <w:r>
              <w:rPr>
                <w:szCs w:val="28"/>
                <w:lang w:val="en-US"/>
              </w:rPr>
              <w:t>clădirile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construcţiile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casele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locuit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individuale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apartamentele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alte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încăperi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izolate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inclusiv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cele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aflate</w:t>
            </w:r>
            <w:proofErr w:type="spellEnd"/>
            <w:r>
              <w:rPr>
                <w:szCs w:val="28"/>
                <w:lang w:val="en-US"/>
              </w:rPr>
              <w:t xml:space="preserve"> la o </w:t>
            </w:r>
            <w:proofErr w:type="spellStart"/>
            <w:r>
              <w:rPr>
                <w:szCs w:val="28"/>
                <w:lang w:val="en-US"/>
              </w:rPr>
              <w:t>etapă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finisare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construcţiei</w:t>
            </w:r>
            <w:proofErr w:type="spellEnd"/>
            <w:r>
              <w:rPr>
                <w:szCs w:val="28"/>
                <w:lang w:val="en-US"/>
              </w:rPr>
              <w:t xml:space="preserve"> de 50%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mult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rămase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nefinisate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timp</w:t>
            </w:r>
            <w:proofErr w:type="spellEnd"/>
            <w:r>
              <w:rPr>
                <w:szCs w:val="28"/>
                <w:lang w:val="en-US"/>
              </w:rPr>
              <w:t xml:space="preserve"> de 3 </w:t>
            </w:r>
            <w:proofErr w:type="spellStart"/>
            <w:r>
              <w:rPr>
                <w:szCs w:val="28"/>
                <w:lang w:val="en-US"/>
              </w:rPr>
              <w:t>ani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după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începutul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lucrărilor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construcţie</w:t>
            </w:r>
            <w:proofErr w:type="spellEnd"/>
          </w:p>
          <w:p w:rsidR="00A713CE" w:rsidRDefault="00A713CE" w:rsidP="0042712C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neevaluate de către organele cadastrale în scopul impozitării</w:t>
            </w:r>
          </w:p>
          <w:p w:rsidR="00A713CE" w:rsidRDefault="00A713CE" w:rsidP="0042712C">
            <w:pPr>
              <w:spacing w:line="25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(conform Anexei.2 la Legea pentru punerea în aplicare a titlului VI din Codul fiscal nr.1056 din 16.06.2000)</w:t>
            </w:r>
          </w:p>
        </w:tc>
      </w:tr>
      <w:tr w:rsidR="00A713CE" w:rsidTr="0042712C">
        <w:trPr>
          <w:trHeight w:val="210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Pentru clădirile și construcțiile cu destinație agricolă, </w:t>
            </w:r>
            <w:proofErr w:type="spellStart"/>
            <w:r>
              <w:rPr>
                <w:szCs w:val="28"/>
                <w:lang w:val="en-US"/>
              </w:rPr>
              <w:t>garajele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construcţiile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amplasate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terenurile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loturilor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întovărăşirilor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pomicole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 xml:space="preserve"> neevaluate de către organele cadastrale teritoriale conform valorii estimate,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1"/>
              </w:numPr>
              <w:spacing w:after="0" w:line="276" w:lineRule="auto"/>
              <w:ind w:left="319"/>
              <w:jc w:val="both"/>
              <w:rPr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pentru persoanele juridice și fizice care desfășoară activitate de întreprinzător;</w:t>
            </w:r>
          </w:p>
          <w:p w:rsidR="00A713CE" w:rsidRDefault="00A713CE" w:rsidP="0042712C">
            <w:pPr>
              <w:pStyle w:val="a6"/>
              <w:numPr>
                <w:ilvl w:val="0"/>
                <w:numId w:val="11"/>
              </w:numPr>
              <w:spacing w:after="0" w:line="276" w:lineRule="auto"/>
              <w:ind w:left="319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pentru persoanele fizice, altele </w:t>
            </w:r>
            <w:proofErr w:type="spellStart"/>
            <w:r>
              <w:rPr>
                <w:szCs w:val="28"/>
                <w:lang w:val="ro-RO" w:eastAsia="ru-RU"/>
              </w:rPr>
              <w:t>decît</w:t>
            </w:r>
            <w:proofErr w:type="spellEnd"/>
            <w:r>
              <w:rPr>
                <w:szCs w:val="28"/>
                <w:lang w:val="ro-RO" w:eastAsia="ru-RU"/>
              </w:rPr>
              <w:t xml:space="preserve"> cele specificate la lit. a).</w:t>
            </w:r>
            <w:r>
              <w:rPr>
                <w:szCs w:val="28"/>
                <w:lang w:val="ro-RO"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42712C">
        <w:trPr>
          <w:trHeight w:val="365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9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42712C">
        <w:trPr>
          <w:trHeight w:val="133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Pentru bunurile imobiliare, alte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în pct. 9 și pct.11, neevaluate de către organele cadastrale teritoriale conform valorii estimate,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319"/>
              <w:jc w:val="both"/>
              <w:rPr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pentru persoanele juridice și fizice care desfășoară activitate de întreprinzător;</w:t>
            </w:r>
          </w:p>
          <w:p w:rsidR="00A713CE" w:rsidRDefault="00A713CE" w:rsidP="0042712C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319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persoanele fizice, altele </w:t>
            </w:r>
            <w:proofErr w:type="spellStart"/>
            <w:r>
              <w:rPr>
                <w:szCs w:val="28"/>
                <w:lang w:val="ro-RO" w:eastAsia="ru-RU"/>
              </w:rPr>
              <w:t>decît</w:t>
            </w:r>
            <w:proofErr w:type="spellEnd"/>
            <w:r>
              <w:rPr>
                <w:szCs w:val="28"/>
                <w:lang w:val="ro-RO" w:eastAsia="ru-RU"/>
              </w:rPr>
              <w:t xml:space="preserve"> cele specificate la lit. 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42712C">
        <w:trPr>
          <w:trHeight w:val="70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9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0,1|%</w:t>
            </w:r>
          </w:p>
        </w:tc>
      </w:tr>
      <w:tr w:rsidR="00A713CE" w:rsidTr="0042712C">
        <w:trPr>
          <w:trHeight w:val="171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Bunurile imobiliare cu destinație locativă (apartamente și case de locuit individuale) din localitățile rurale se stabilesc după cum urmează: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 pentru persoanele juridice și fizice care desfășoară activitate de întreprinzător;</w:t>
            </w:r>
          </w:p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b) persoanele fizice,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la lit. 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rPr>
                <w:sz w:val="28"/>
                <w:szCs w:val="28"/>
              </w:rPr>
            </w:pPr>
          </w:p>
          <w:p w:rsidR="00A713CE" w:rsidRDefault="00A713CE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42712C">
        <w:trPr>
          <w:trHeight w:val="403"/>
        </w:trPr>
        <w:tc>
          <w:tcPr>
            <w:tcW w:w="10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9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42712C">
        <w:trPr>
          <w:trHeight w:val="2527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ind w:firstLine="59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Nota: În cazurile în care suprafața totală a locuințelor și a construcțiilor principale ale persoanelor fizice care nu desfășoară activitate de întreprinzător, înregistrate cu drept de proprietate, depășește 100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100 la 150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1,5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150 la 200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2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200 la 300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10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  <w:lang w:val="en-US" w:eastAsia="en-US"/>
              </w:rPr>
            </w:pPr>
            <w:r>
              <w:rPr>
                <w:i/>
                <w:sz w:val="26"/>
                <w:szCs w:val="26"/>
              </w:rPr>
              <w:t>- peste 300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– de 15 ori.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</w:p>
          <w:p w:rsidR="00A713CE" w:rsidRDefault="00A713CE" w:rsidP="0042712C">
            <w:pPr>
              <w:spacing w:line="256" w:lineRule="auto"/>
              <w:ind w:firstLine="596"/>
              <w:jc w:val="both"/>
              <w:rPr>
                <w:sz w:val="28"/>
                <w:szCs w:val="28"/>
              </w:rPr>
            </w:pPr>
            <w:r>
              <w:rPr>
                <w:i/>
                <w:sz w:val="26"/>
                <w:szCs w:val="26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A713CE" w:rsidRDefault="00A713CE" w:rsidP="00A713CE">
      <w:pPr>
        <w:rPr>
          <w:b/>
          <w:lang w:eastAsia="en-US"/>
        </w:rPr>
      </w:pPr>
    </w:p>
    <w:p w:rsidR="00A713CE" w:rsidRDefault="00A713CE" w:rsidP="00A713CE">
      <w:pPr>
        <w:rPr>
          <w:b/>
        </w:rPr>
      </w:pPr>
    </w:p>
    <w:p w:rsidR="00A713CE" w:rsidRDefault="00A713CE" w:rsidP="00A713CE">
      <w:pPr>
        <w:rPr>
          <w:b/>
          <w:sz w:val="28"/>
          <w:szCs w:val="28"/>
        </w:rPr>
      </w:pPr>
      <w:r>
        <w:rPr>
          <w:b/>
          <w:szCs w:val="28"/>
        </w:rPr>
        <w:t xml:space="preserve">      </w:t>
      </w:r>
    </w:p>
    <w:p w:rsidR="00A713CE" w:rsidRDefault="00A713CE" w:rsidP="00A713CE">
      <w:pPr>
        <w:rPr>
          <w:b/>
          <w:szCs w:val="28"/>
        </w:rPr>
      </w:pPr>
    </w:p>
    <w:p w:rsidR="00A713CE" w:rsidRDefault="00A713CE" w:rsidP="00A713CE">
      <w:pPr>
        <w:rPr>
          <w:b/>
          <w:szCs w:val="28"/>
        </w:rPr>
      </w:pPr>
    </w:p>
    <w:p w:rsidR="00A713CE" w:rsidRDefault="00A713CE" w:rsidP="00A713CE">
      <w:pPr>
        <w:rPr>
          <w:b/>
          <w:szCs w:val="28"/>
        </w:rPr>
      </w:pPr>
      <w:r>
        <w:rPr>
          <w:b/>
          <w:szCs w:val="28"/>
        </w:rPr>
        <w:t xml:space="preserve"> Președintele ședinței                                                            </w:t>
      </w:r>
    </w:p>
    <w:p w:rsidR="00A713CE" w:rsidRDefault="00A713CE" w:rsidP="00A713CE">
      <w:pPr>
        <w:rPr>
          <w:b/>
        </w:rPr>
      </w:pPr>
      <w:r>
        <w:rPr>
          <w:b/>
          <w:szCs w:val="28"/>
        </w:rPr>
        <w:t xml:space="preserve">Secretarul Consiliului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</w:p>
    <w:p w:rsidR="00A713CE" w:rsidRDefault="00A713CE" w:rsidP="00A713CE">
      <w:pPr>
        <w:spacing w:after="240"/>
        <w:jc w:val="both"/>
        <w:rPr>
          <w:b/>
          <w:bCs/>
          <w:bdr w:val="none" w:sz="0" w:space="0" w:color="auto" w:frame="1"/>
          <w:lang w:val="ro-MO" w:eastAsia="ro-RO"/>
        </w:rPr>
      </w:pPr>
    </w:p>
    <w:p w:rsidR="00A713CE" w:rsidRDefault="00A713CE" w:rsidP="00A713CE">
      <w:pPr>
        <w:spacing w:after="240"/>
        <w:jc w:val="both"/>
        <w:rPr>
          <w:b/>
          <w:bCs/>
          <w:bdr w:val="none" w:sz="0" w:space="0" w:color="auto" w:frame="1"/>
          <w:lang w:val="ro-MO" w:eastAsia="ro-RO"/>
        </w:rPr>
      </w:pPr>
    </w:p>
    <w:p w:rsidR="00A713CE" w:rsidRDefault="00A713CE" w:rsidP="00A713CE">
      <w:pPr>
        <w:rPr>
          <w:lang w:val="ro-MO"/>
        </w:rPr>
      </w:pPr>
    </w:p>
    <w:p w:rsidR="00A713CE" w:rsidRPr="00803DA5" w:rsidRDefault="00A713CE" w:rsidP="00A713CE">
      <w:pPr>
        <w:tabs>
          <w:tab w:val="left" w:pos="3636"/>
        </w:tabs>
        <w:rPr>
          <w:b/>
          <w:sz w:val="28"/>
          <w:szCs w:val="28"/>
          <w:lang w:val="ro-MO"/>
        </w:rPr>
      </w:pPr>
    </w:p>
    <w:p w:rsidR="00A713CE" w:rsidRPr="00A713CE" w:rsidRDefault="00A713CE" w:rsidP="00A713CE">
      <w:pPr>
        <w:rPr>
          <w:szCs w:val="28"/>
          <w:lang w:val="ro-MO"/>
        </w:rPr>
      </w:pPr>
    </w:p>
    <w:sectPr w:rsidR="00A713CE" w:rsidRPr="00A713CE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D1FDC"/>
    <w:multiLevelType w:val="hybridMultilevel"/>
    <w:tmpl w:val="E1E83222"/>
    <w:lvl w:ilvl="0" w:tplc="D0284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63E2"/>
    <w:rsid w:val="00067942"/>
    <w:rsid w:val="0007023C"/>
    <w:rsid w:val="000E1620"/>
    <w:rsid w:val="000E62E6"/>
    <w:rsid w:val="000F7793"/>
    <w:rsid w:val="001013C0"/>
    <w:rsid w:val="0010286F"/>
    <w:rsid w:val="001031E9"/>
    <w:rsid w:val="00121071"/>
    <w:rsid w:val="00132176"/>
    <w:rsid w:val="001450A0"/>
    <w:rsid w:val="0015346D"/>
    <w:rsid w:val="001547AF"/>
    <w:rsid w:val="00165BC2"/>
    <w:rsid w:val="00170D18"/>
    <w:rsid w:val="00174F68"/>
    <w:rsid w:val="00187815"/>
    <w:rsid w:val="00196509"/>
    <w:rsid w:val="001C531A"/>
    <w:rsid w:val="001F1D43"/>
    <w:rsid w:val="00201BD6"/>
    <w:rsid w:val="00204378"/>
    <w:rsid w:val="00211111"/>
    <w:rsid w:val="00212C9C"/>
    <w:rsid w:val="002177DA"/>
    <w:rsid w:val="0025081D"/>
    <w:rsid w:val="00267744"/>
    <w:rsid w:val="00274A1D"/>
    <w:rsid w:val="002A3739"/>
    <w:rsid w:val="002A455C"/>
    <w:rsid w:val="002C7048"/>
    <w:rsid w:val="002F6099"/>
    <w:rsid w:val="0030164E"/>
    <w:rsid w:val="00322C34"/>
    <w:rsid w:val="003860EF"/>
    <w:rsid w:val="0039159B"/>
    <w:rsid w:val="003A2C3E"/>
    <w:rsid w:val="003A4054"/>
    <w:rsid w:val="003C7864"/>
    <w:rsid w:val="003D616C"/>
    <w:rsid w:val="003E2957"/>
    <w:rsid w:val="004020ED"/>
    <w:rsid w:val="00463D5D"/>
    <w:rsid w:val="004A67BF"/>
    <w:rsid w:val="004B6BE8"/>
    <w:rsid w:val="004F3064"/>
    <w:rsid w:val="004F6877"/>
    <w:rsid w:val="00530478"/>
    <w:rsid w:val="00546360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715ECB"/>
    <w:rsid w:val="00792186"/>
    <w:rsid w:val="007B7960"/>
    <w:rsid w:val="007C6331"/>
    <w:rsid w:val="007E24AB"/>
    <w:rsid w:val="007F0148"/>
    <w:rsid w:val="007F4D58"/>
    <w:rsid w:val="00803DA5"/>
    <w:rsid w:val="00806021"/>
    <w:rsid w:val="008300D7"/>
    <w:rsid w:val="008430F6"/>
    <w:rsid w:val="00890618"/>
    <w:rsid w:val="008B5506"/>
    <w:rsid w:val="008C0491"/>
    <w:rsid w:val="008C0660"/>
    <w:rsid w:val="008D5ABF"/>
    <w:rsid w:val="008F5ABA"/>
    <w:rsid w:val="009046C5"/>
    <w:rsid w:val="00907FB8"/>
    <w:rsid w:val="009122D7"/>
    <w:rsid w:val="00916260"/>
    <w:rsid w:val="0093203D"/>
    <w:rsid w:val="009664AC"/>
    <w:rsid w:val="009777C4"/>
    <w:rsid w:val="009C12EC"/>
    <w:rsid w:val="009C5285"/>
    <w:rsid w:val="009E5039"/>
    <w:rsid w:val="00A459CE"/>
    <w:rsid w:val="00A55CD6"/>
    <w:rsid w:val="00A62A5F"/>
    <w:rsid w:val="00A713CE"/>
    <w:rsid w:val="00A75361"/>
    <w:rsid w:val="00A82ED1"/>
    <w:rsid w:val="00A85AF9"/>
    <w:rsid w:val="00A86EED"/>
    <w:rsid w:val="00AA037E"/>
    <w:rsid w:val="00AB0B6E"/>
    <w:rsid w:val="00AC6537"/>
    <w:rsid w:val="00AD67EC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7B"/>
    <w:rsid w:val="00C54DC9"/>
    <w:rsid w:val="00C62678"/>
    <w:rsid w:val="00C62E01"/>
    <w:rsid w:val="00C66201"/>
    <w:rsid w:val="00C72309"/>
    <w:rsid w:val="00C87673"/>
    <w:rsid w:val="00CE0FFE"/>
    <w:rsid w:val="00D06495"/>
    <w:rsid w:val="00D10CD4"/>
    <w:rsid w:val="00D11320"/>
    <w:rsid w:val="00D11685"/>
    <w:rsid w:val="00D12F72"/>
    <w:rsid w:val="00D200EE"/>
    <w:rsid w:val="00D60CC9"/>
    <w:rsid w:val="00D63323"/>
    <w:rsid w:val="00D9237F"/>
    <w:rsid w:val="00D959F5"/>
    <w:rsid w:val="00DA6250"/>
    <w:rsid w:val="00DB5481"/>
    <w:rsid w:val="00DF3413"/>
    <w:rsid w:val="00DF4D79"/>
    <w:rsid w:val="00DF7D61"/>
    <w:rsid w:val="00E00D5E"/>
    <w:rsid w:val="00E02FE6"/>
    <w:rsid w:val="00E17C96"/>
    <w:rsid w:val="00E368A6"/>
    <w:rsid w:val="00E46A24"/>
    <w:rsid w:val="00E84A80"/>
    <w:rsid w:val="00E917FE"/>
    <w:rsid w:val="00E93885"/>
    <w:rsid w:val="00E95E60"/>
    <w:rsid w:val="00EA0C67"/>
    <w:rsid w:val="00EC1E9B"/>
    <w:rsid w:val="00EC68EE"/>
    <w:rsid w:val="00EC7BA4"/>
    <w:rsid w:val="00ED6307"/>
    <w:rsid w:val="00EF33EC"/>
    <w:rsid w:val="00F0423F"/>
    <w:rsid w:val="00F142D0"/>
    <w:rsid w:val="00F2693B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customStyle="1" w:styleId="a5">
    <w:name w:val="Абзац списка Знак"/>
    <w:link w:val="a6"/>
    <w:uiPriority w:val="34"/>
    <w:locked/>
    <w:rsid w:val="003E2957"/>
    <w:rPr>
      <w:rFonts w:ascii="Calibri" w:eastAsia="Calibri" w:hAnsi="Calibri" w:cs="Calibri"/>
      <w:sz w:val="22"/>
      <w:szCs w:val="22"/>
      <w:lang w:val="en-US" w:eastAsia="en-US"/>
    </w:rPr>
  </w:style>
  <w:style w:type="paragraph" w:styleId="a6">
    <w:name w:val="List Paragraph"/>
    <w:basedOn w:val="a"/>
    <w:link w:val="a5"/>
    <w:uiPriority w:val="34"/>
    <w:qFormat/>
    <w:rsid w:val="003E2957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3E295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03D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clisova@gmail.com,%20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9</cp:revision>
  <cp:lastPrinted>2018-11-09T09:18:00Z</cp:lastPrinted>
  <dcterms:created xsi:type="dcterms:W3CDTF">2018-11-08T22:32:00Z</dcterms:created>
  <dcterms:modified xsi:type="dcterms:W3CDTF">2018-12-04T15:34:00Z</dcterms:modified>
</cp:coreProperties>
</file>